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CC" w:rsidRDefault="001C67CC">
      <w:pPr>
        <w:pStyle w:val="Header"/>
        <w:tabs>
          <w:tab w:val="clear" w:pos="4320"/>
          <w:tab w:val="clear" w:pos="8640"/>
        </w:tabs>
      </w:pPr>
    </w:p>
    <w:p w:rsidR="001C67CC" w:rsidRDefault="001C67CC">
      <w:r>
        <w:t>The following figures indicate the projected worldwide sales for the next three months. These figures are the best estimates available at present, but are likely to be affected by the following conditions:</w:t>
      </w:r>
    </w:p>
    <w:p w:rsidR="001C67CC" w:rsidRDefault="001C67CC">
      <w:proofErr w:type="gramStart"/>
      <w:r>
        <w:t>Dollar/Euro exchange rate.</w:t>
      </w:r>
      <w:proofErr w:type="gramEnd"/>
    </w:p>
    <w:p w:rsidR="001C67CC" w:rsidRDefault="001C67CC">
      <w:proofErr w:type="gramStart"/>
      <w:r>
        <w:t xml:space="preserve">Rate of Inflation in </w:t>
      </w:r>
      <w:smartTag w:uri="urn:schemas-microsoft-com:office:smarttags" w:element="country-region">
        <w:smartTag w:uri="urn:schemas-microsoft-com:office:smarttags" w:element="place">
          <w:r>
            <w:t>Ireland</w:t>
          </w:r>
        </w:smartTag>
      </w:smartTag>
      <w:r>
        <w:t>.</w:t>
      </w:r>
      <w:proofErr w:type="gramEnd"/>
    </w:p>
    <w:p w:rsidR="001C67CC" w:rsidRDefault="001C67CC">
      <w:proofErr w:type="gramStart"/>
      <w:r>
        <w:t>Outcome of National Wage Negotiations.</w:t>
      </w:r>
      <w:proofErr w:type="gramEnd"/>
    </w:p>
    <w:p w:rsidR="001C67CC" w:rsidRDefault="001C67CC">
      <w:proofErr w:type="gramStart"/>
      <w:r>
        <w:t>World Oil prices.</w:t>
      </w:r>
      <w:proofErr w:type="gramEnd"/>
    </w:p>
    <w:p w:rsidR="001C67CC" w:rsidRDefault="001C67CC"/>
    <w:p w:rsidR="001762E3" w:rsidRDefault="001762E3">
      <w:pPr>
        <w:pStyle w:val="Heading1"/>
        <w:pBdr>
          <w:top w:val="none" w:sz="0" w:space="0" w:color="auto"/>
          <w:left w:val="none" w:sz="0" w:space="0" w:color="auto"/>
          <w:bottom w:val="none" w:sz="0" w:space="0" w:color="auto"/>
          <w:right w:val="none" w:sz="0" w:space="0" w:color="auto"/>
        </w:pBdr>
        <w:tabs>
          <w:tab w:val="clear" w:pos="2793"/>
          <w:tab w:val="clear" w:pos="5130"/>
          <w:tab w:val="clear" w:pos="7353"/>
        </w:tabs>
        <w:spacing w:line="240" w:lineRule="auto"/>
        <w:ind w:left="0" w:right="6"/>
        <w:rPr>
          <w:b w:val="0"/>
          <w:bCs w:val="0"/>
        </w:rPr>
      </w:pPr>
    </w:p>
    <w:tbl>
      <w:tblPr>
        <w:tblW w:w="0" w:type="auto"/>
        <w:tblInd w:w="2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390"/>
        <w:gridCol w:w="1559"/>
        <w:gridCol w:w="1560"/>
      </w:tblGrid>
      <w:tr w:rsidR="001762E3" w:rsidRPr="001762E3" w:rsidTr="00225833">
        <w:tc>
          <w:tcPr>
            <w:tcW w:w="1728" w:type="dxa"/>
          </w:tcPr>
          <w:p w:rsidR="001762E3" w:rsidRPr="00225833" w:rsidRDefault="001762E3" w:rsidP="00225833">
            <w:pPr>
              <w:pStyle w:val="Heading1"/>
              <w:pBdr>
                <w:top w:val="none" w:sz="0" w:space="0" w:color="auto"/>
                <w:left w:val="none" w:sz="0" w:space="0" w:color="auto"/>
                <w:bottom w:val="none" w:sz="0" w:space="0" w:color="auto"/>
                <w:right w:val="none" w:sz="0" w:space="0" w:color="auto"/>
              </w:pBdr>
              <w:tabs>
                <w:tab w:val="clear" w:pos="2793"/>
                <w:tab w:val="clear" w:pos="5130"/>
                <w:tab w:val="clear" w:pos="7353"/>
              </w:tabs>
              <w:spacing w:line="240" w:lineRule="auto"/>
              <w:ind w:left="0" w:right="6"/>
              <w:rPr>
                <w:b w:val="0"/>
                <w:bCs w:val="0"/>
              </w:rPr>
            </w:pPr>
            <w:r w:rsidRPr="00225833">
              <w:rPr>
                <w:b w:val="0"/>
                <w:bCs w:val="0"/>
              </w:rPr>
              <w:t>Category</w:t>
            </w:r>
          </w:p>
        </w:tc>
        <w:tc>
          <w:tcPr>
            <w:tcW w:w="1390" w:type="dxa"/>
          </w:tcPr>
          <w:p w:rsidR="001762E3" w:rsidRPr="00225833" w:rsidRDefault="001762E3" w:rsidP="00225833">
            <w:pPr>
              <w:pStyle w:val="Heading1"/>
              <w:pBdr>
                <w:top w:val="none" w:sz="0" w:space="0" w:color="auto"/>
                <w:left w:val="none" w:sz="0" w:space="0" w:color="auto"/>
                <w:bottom w:val="none" w:sz="0" w:space="0" w:color="auto"/>
                <w:right w:val="none" w:sz="0" w:space="0" w:color="auto"/>
              </w:pBdr>
              <w:tabs>
                <w:tab w:val="clear" w:pos="2793"/>
                <w:tab w:val="clear" w:pos="5130"/>
                <w:tab w:val="clear" w:pos="7353"/>
              </w:tabs>
              <w:spacing w:line="240" w:lineRule="auto"/>
              <w:ind w:left="0" w:right="6"/>
              <w:rPr>
                <w:b w:val="0"/>
                <w:bCs w:val="0"/>
              </w:rPr>
            </w:pPr>
            <w:r w:rsidRPr="00225833">
              <w:rPr>
                <w:b w:val="0"/>
                <w:bCs w:val="0"/>
              </w:rPr>
              <w:t>January</w:t>
            </w:r>
          </w:p>
        </w:tc>
        <w:tc>
          <w:tcPr>
            <w:tcW w:w="1559" w:type="dxa"/>
          </w:tcPr>
          <w:p w:rsidR="001762E3" w:rsidRPr="00225833" w:rsidRDefault="001762E3" w:rsidP="00225833">
            <w:pPr>
              <w:pStyle w:val="Heading1"/>
              <w:pBdr>
                <w:top w:val="none" w:sz="0" w:space="0" w:color="auto"/>
                <w:left w:val="none" w:sz="0" w:space="0" w:color="auto"/>
                <w:bottom w:val="none" w:sz="0" w:space="0" w:color="auto"/>
                <w:right w:val="none" w:sz="0" w:space="0" w:color="auto"/>
              </w:pBdr>
              <w:tabs>
                <w:tab w:val="clear" w:pos="2793"/>
                <w:tab w:val="clear" w:pos="5130"/>
                <w:tab w:val="clear" w:pos="7353"/>
              </w:tabs>
              <w:spacing w:line="240" w:lineRule="auto"/>
              <w:ind w:left="0" w:right="6"/>
              <w:rPr>
                <w:b w:val="0"/>
                <w:bCs w:val="0"/>
              </w:rPr>
            </w:pPr>
            <w:r w:rsidRPr="00225833">
              <w:rPr>
                <w:b w:val="0"/>
                <w:bCs w:val="0"/>
              </w:rPr>
              <w:t>February</w:t>
            </w:r>
          </w:p>
        </w:tc>
        <w:tc>
          <w:tcPr>
            <w:tcW w:w="1560" w:type="dxa"/>
          </w:tcPr>
          <w:p w:rsidR="001762E3" w:rsidRPr="00225833" w:rsidRDefault="001762E3" w:rsidP="00225833">
            <w:pPr>
              <w:pStyle w:val="Heading1"/>
              <w:pBdr>
                <w:top w:val="none" w:sz="0" w:space="0" w:color="auto"/>
                <w:left w:val="none" w:sz="0" w:space="0" w:color="auto"/>
                <w:bottom w:val="none" w:sz="0" w:space="0" w:color="auto"/>
                <w:right w:val="none" w:sz="0" w:space="0" w:color="auto"/>
              </w:pBdr>
              <w:tabs>
                <w:tab w:val="clear" w:pos="2793"/>
                <w:tab w:val="clear" w:pos="5130"/>
                <w:tab w:val="clear" w:pos="7353"/>
              </w:tabs>
              <w:spacing w:line="240" w:lineRule="auto"/>
              <w:ind w:left="0" w:right="6"/>
              <w:rPr>
                <w:b w:val="0"/>
                <w:bCs w:val="0"/>
              </w:rPr>
            </w:pPr>
            <w:r w:rsidRPr="00225833">
              <w:rPr>
                <w:b w:val="0"/>
                <w:bCs w:val="0"/>
              </w:rPr>
              <w:t>March</w:t>
            </w:r>
          </w:p>
        </w:tc>
      </w:tr>
      <w:tr w:rsidR="001762E3" w:rsidRPr="001762E3" w:rsidTr="00225833">
        <w:tc>
          <w:tcPr>
            <w:tcW w:w="1728" w:type="dxa"/>
          </w:tcPr>
          <w:p w:rsidR="001762E3" w:rsidRPr="001762E3" w:rsidRDefault="001762E3" w:rsidP="00225833">
            <w:pPr>
              <w:ind w:right="6"/>
            </w:pPr>
            <w:r w:rsidRPr="001762E3">
              <w:t>PC Computers</w:t>
            </w:r>
          </w:p>
        </w:tc>
        <w:tc>
          <w:tcPr>
            <w:tcW w:w="1390" w:type="dxa"/>
          </w:tcPr>
          <w:p w:rsidR="001762E3" w:rsidRPr="001762E3" w:rsidRDefault="001762E3" w:rsidP="00225833">
            <w:pPr>
              <w:ind w:right="6"/>
            </w:pPr>
            <w:r w:rsidRPr="001762E3">
              <w:t>€128,000</w:t>
            </w:r>
          </w:p>
        </w:tc>
        <w:tc>
          <w:tcPr>
            <w:tcW w:w="1559" w:type="dxa"/>
          </w:tcPr>
          <w:p w:rsidR="001762E3" w:rsidRPr="001762E3" w:rsidRDefault="001762E3" w:rsidP="00225833">
            <w:pPr>
              <w:ind w:right="6"/>
            </w:pPr>
            <w:r w:rsidRPr="001762E3">
              <w:t>€135,000</w:t>
            </w:r>
          </w:p>
        </w:tc>
        <w:tc>
          <w:tcPr>
            <w:tcW w:w="1560" w:type="dxa"/>
          </w:tcPr>
          <w:p w:rsidR="001762E3" w:rsidRPr="001762E3" w:rsidRDefault="001762E3" w:rsidP="00225833">
            <w:pPr>
              <w:ind w:right="6"/>
            </w:pPr>
            <w:r w:rsidRPr="001762E3">
              <w:t>€142,000</w:t>
            </w:r>
          </w:p>
        </w:tc>
      </w:tr>
      <w:tr w:rsidR="001762E3" w:rsidRPr="001762E3" w:rsidTr="00225833">
        <w:tc>
          <w:tcPr>
            <w:tcW w:w="1728" w:type="dxa"/>
          </w:tcPr>
          <w:p w:rsidR="001762E3" w:rsidRPr="001762E3" w:rsidRDefault="001762E3" w:rsidP="00225833">
            <w:pPr>
              <w:ind w:right="6"/>
            </w:pPr>
            <w:r w:rsidRPr="001762E3">
              <w:t>Laptops</w:t>
            </w:r>
          </w:p>
        </w:tc>
        <w:tc>
          <w:tcPr>
            <w:tcW w:w="1390" w:type="dxa"/>
          </w:tcPr>
          <w:p w:rsidR="001762E3" w:rsidRPr="001762E3" w:rsidRDefault="001762E3" w:rsidP="00225833">
            <w:pPr>
              <w:ind w:right="6"/>
            </w:pPr>
            <w:r w:rsidRPr="001762E3">
              <w:t>€56,000</w:t>
            </w:r>
          </w:p>
        </w:tc>
        <w:tc>
          <w:tcPr>
            <w:tcW w:w="1559" w:type="dxa"/>
          </w:tcPr>
          <w:p w:rsidR="001762E3" w:rsidRPr="001762E3" w:rsidRDefault="001762E3" w:rsidP="00225833">
            <w:pPr>
              <w:ind w:right="6"/>
            </w:pPr>
            <w:r w:rsidRPr="001762E3">
              <w:t>€58,000</w:t>
            </w:r>
          </w:p>
        </w:tc>
        <w:tc>
          <w:tcPr>
            <w:tcW w:w="1560" w:type="dxa"/>
          </w:tcPr>
          <w:p w:rsidR="001762E3" w:rsidRPr="001762E3" w:rsidRDefault="001762E3" w:rsidP="00225833">
            <w:pPr>
              <w:ind w:right="6"/>
            </w:pPr>
            <w:r w:rsidRPr="001762E3">
              <w:t>€62,000</w:t>
            </w:r>
          </w:p>
        </w:tc>
      </w:tr>
      <w:tr w:rsidR="001762E3" w:rsidRPr="001762E3" w:rsidTr="00225833">
        <w:tc>
          <w:tcPr>
            <w:tcW w:w="1728" w:type="dxa"/>
          </w:tcPr>
          <w:p w:rsidR="001762E3" w:rsidRPr="001762E3" w:rsidRDefault="001762E3" w:rsidP="00225833">
            <w:pPr>
              <w:ind w:right="6"/>
            </w:pPr>
            <w:r w:rsidRPr="001762E3">
              <w:t>Printers</w:t>
            </w:r>
          </w:p>
        </w:tc>
        <w:tc>
          <w:tcPr>
            <w:tcW w:w="1390" w:type="dxa"/>
          </w:tcPr>
          <w:p w:rsidR="001762E3" w:rsidRPr="001762E3" w:rsidRDefault="001762E3" w:rsidP="00225833">
            <w:pPr>
              <w:ind w:right="6"/>
            </w:pPr>
            <w:r w:rsidRPr="001762E3">
              <w:t>€25,000</w:t>
            </w:r>
          </w:p>
        </w:tc>
        <w:tc>
          <w:tcPr>
            <w:tcW w:w="1559" w:type="dxa"/>
          </w:tcPr>
          <w:p w:rsidR="001762E3" w:rsidRPr="001762E3" w:rsidRDefault="001762E3" w:rsidP="00225833">
            <w:pPr>
              <w:ind w:right="6"/>
            </w:pPr>
            <w:r w:rsidRPr="001762E3">
              <w:t>€28,000</w:t>
            </w:r>
          </w:p>
        </w:tc>
        <w:tc>
          <w:tcPr>
            <w:tcW w:w="1560" w:type="dxa"/>
          </w:tcPr>
          <w:p w:rsidR="001762E3" w:rsidRPr="001762E3" w:rsidRDefault="001762E3" w:rsidP="00225833">
            <w:pPr>
              <w:ind w:right="6"/>
            </w:pPr>
            <w:r w:rsidRPr="001762E3">
              <w:t>€35,000</w:t>
            </w:r>
          </w:p>
        </w:tc>
      </w:tr>
      <w:tr w:rsidR="001762E3" w:rsidRPr="001762E3" w:rsidTr="00225833">
        <w:tc>
          <w:tcPr>
            <w:tcW w:w="1728" w:type="dxa"/>
          </w:tcPr>
          <w:p w:rsidR="001762E3" w:rsidRPr="001762E3" w:rsidRDefault="001762E3" w:rsidP="00225833">
            <w:pPr>
              <w:ind w:right="6"/>
            </w:pPr>
            <w:r w:rsidRPr="001762E3">
              <w:t>Peripherals</w:t>
            </w:r>
          </w:p>
        </w:tc>
        <w:tc>
          <w:tcPr>
            <w:tcW w:w="1390" w:type="dxa"/>
          </w:tcPr>
          <w:p w:rsidR="001762E3" w:rsidRPr="001762E3" w:rsidRDefault="001762E3" w:rsidP="00225833">
            <w:pPr>
              <w:ind w:right="6"/>
            </w:pPr>
            <w:r w:rsidRPr="001762E3">
              <w:t>€18,000</w:t>
            </w:r>
          </w:p>
        </w:tc>
        <w:tc>
          <w:tcPr>
            <w:tcW w:w="1559" w:type="dxa"/>
          </w:tcPr>
          <w:p w:rsidR="001762E3" w:rsidRPr="001762E3" w:rsidRDefault="001762E3" w:rsidP="00225833">
            <w:pPr>
              <w:ind w:right="6"/>
            </w:pPr>
            <w:r w:rsidRPr="001762E3">
              <w:t>€22,000</w:t>
            </w:r>
          </w:p>
        </w:tc>
        <w:tc>
          <w:tcPr>
            <w:tcW w:w="1560" w:type="dxa"/>
          </w:tcPr>
          <w:p w:rsidR="001762E3" w:rsidRPr="001762E3" w:rsidRDefault="001762E3" w:rsidP="00225833">
            <w:pPr>
              <w:ind w:right="6"/>
            </w:pPr>
            <w:r w:rsidRPr="001762E3">
              <w:t>€28,000</w:t>
            </w:r>
          </w:p>
        </w:tc>
      </w:tr>
    </w:tbl>
    <w:p w:rsidR="001C67CC" w:rsidRDefault="001C67CC" w:rsidP="001762E3">
      <w:pPr>
        <w:pStyle w:val="Header"/>
        <w:tabs>
          <w:tab w:val="clear" w:pos="4320"/>
          <w:tab w:val="clear" w:pos="8640"/>
        </w:tabs>
      </w:pPr>
    </w:p>
    <w:sectPr w:rsidR="001C67CC">
      <w:headerReference w:type="default" r:id="rId7"/>
      <w:type w:val="continuous"/>
      <w:pgSz w:w="11907" w:h="16840" w:code="9"/>
      <w:pgMar w:top="1418" w:right="1134" w:bottom="1418"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833" w:rsidRDefault="00225833">
      <w:r>
        <w:separator/>
      </w:r>
    </w:p>
  </w:endnote>
  <w:endnote w:type="continuationSeparator" w:id="0">
    <w:p w:rsidR="00225833" w:rsidRDefault="002258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833" w:rsidRDefault="00225833">
      <w:r>
        <w:separator/>
      </w:r>
    </w:p>
  </w:footnote>
  <w:footnote w:type="continuationSeparator" w:id="0">
    <w:p w:rsidR="00225833" w:rsidRDefault="00225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D8" w:rsidRDefault="00516CD8">
    <w:pPr>
      <w:pStyle w:val="Header"/>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A076C"/>
    <w:multiLevelType w:val="hybridMultilevel"/>
    <w:tmpl w:val="D3B2E92A"/>
    <w:lvl w:ilvl="0" w:tplc="5CD23BE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827570"/>
    <w:multiLevelType w:val="hybridMultilevel"/>
    <w:tmpl w:val="4D7881E2"/>
    <w:lvl w:ilvl="0" w:tplc="5CD23BE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1C67CC"/>
    <w:rsid w:val="001762E3"/>
    <w:rsid w:val="001C67CC"/>
    <w:rsid w:val="00225833"/>
    <w:rsid w:val="0023675A"/>
    <w:rsid w:val="00381DEE"/>
    <w:rsid w:val="00516CD8"/>
    <w:rsid w:val="00D6791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2" w:color="auto"/>
        <w:left w:val="single" w:sz="4" w:space="4" w:color="auto"/>
        <w:bottom w:val="single" w:sz="4" w:space="1" w:color="auto"/>
        <w:right w:val="single" w:sz="4" w:space="4" w:color="auto"/>
      </w:pBdr>
      <w:tabs>
        <w:tab w:val="left" w:pos="2793"/>
        <w:tab w:val="left" w:pos="5130"/>
        <w:tab w:val="left" w:pos="7353"/>
      </w:tabs>
      <w:spacing w:line="480" w:lineRule="auto"/>
      <w:ind w:left="570" w:right="1146"/>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color w:val="0000FF"/>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uiPriority w:val="59"/>
    <w:rsid w:val="001762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Sales Forecast</vt:lpstr>
    </vt:vector>
  </TitlesOfParts>
  <Company>Saint Partick's Community College</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Forecast</dc:title>
  <dc:subject/>
  <dc:creator>John Roche</dc:creator>
  <cp:keywords/>
  <dc:description/>
  <cp:lastModifiedBy>dpayne</cp:lastModifiedBy>
  <cp:revision>2</cp:revision>
  <cp:lastPrinted>2003-05-02T11:01:00Z</cp:lastPrinted>
  <dcterms:created xsi:type="dcterms:W3CDTF">2013-10-23T07:48:00Z</dcterms:created>
  <dcterms:modified xsi:type="dcterms:W3CDTF">2013-10-23T07:48:00Z</dcterms:modified>
</cp:coreProperties>
</file>